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1"/>
        <w:tblpPr w:leftFromText="180" w:rightFromText="180" w:vertAnchor="text" w:horzAnchor="page" w:tblpX="5903" w:tblpY="-577"/>
        <w:tblW w:w="0" w:type="auto"/>
        <w:tblLook w:val="04A0" w:firstRow="1" w:lastRow="0" w:firstColumn="1" w:lastColumn="0" w:noHBand="0" w:noVBand="1"/>
      </w:tblPr>
      <w:tblGrid>
        <w:gridCol w:w="5280"/>
      </w:tblGrid>
      <w:tr w:rsidR="00B92D0F" w14:paraId="18F9E16A" w14:textId="77777777" w:rsidTr="00B92D0F">
        <w:trPr>
          <w:trHeight w:val="1408"/>
        </w:trPr>
        <w:tc>
          <w:tcPr>
            <w:tcW w:w="5280" w:type="dxa"/>
            <w:tcBorders>
              <w:top w:val="nil"/>
              <w:left w:val="nil"/>
              <w:bottom w:val="nil"/>
              <w:right w:val="nil"/>
            </w:tcBorders>
          </w:tcPr>
          <w:p w14:paraId="2E589FDE" w14:textId="77777777" w:rsidR="00B92D0F" w:rsidRDefault="00B92D0F" w:rsidP="00B92D0F">
            <w:pPr>
              <w:contextualSpacing/>
              <w:rPr>
                <w:rFonts w:ascii="PDF417x" w:hAnsi="PDF417x"/>
                <w:sz w:val="24"/>
                <w:szCs w:val="24"/>
              </w:rPr>
            </w:pPr>
            <w:bookmarkStart w:id="0" w:name="_Hlk107255613"/>
            <w:r>
              <w:rPr>
                <w:rFonts w:ascii="PDF417x" w:hAnsi="PDF417x"/>
                <w:sz w:val="24"/>
                <w:szCs w:val="24"/>
              </w:rPr>
              <w:t>+*xfs*pvs*lsu*cvA*xBj*uCi*voE*Dis*ohs*kkn*pBk*-</w:t>
            </w:r>
            <w:r>
              <w:rPr>
                <w:rFonts w:ascii="PDF417x" w:hAnsi="PDF417x"/>
                <w:sz w:val="24"/>
                <w:szCs w:val="24"/>
              </w:rPr>
              <w:br/>
              <w:t>+*yqw*wCo*Fzi*kno*oxA*zbd*wpA*zDf*gzq*jus*zew*-</w:t>
            </w:r>
            <w:r>
              <w:rPr>
                <w:rFonts w:ascii="PDF417x" w:hAnsi="PDF417x"/>
                <w:sz w:val="24"/>
                <w:szCs w:val="24"/>
              </w:rPr>
              <w:br/>
              <w:t>+*eDs*lyd*lyd*lyd*lyd*bxu*bFk*ECj*gci*rtC*zfE*-</w:t>
            </w:r>
            <w:r>
              <w:rPr>
                <w:rFonts w:ascii="PDF417x" w:hAnsi="PDF417x"/>
                <w:sz w:val="24"/>
                <w:szCs w:val="24"/>
              </w:rPr>
              <w:br/>
              <w:t>+*ftw*prA*tBi*FnA*Chk*lBD*wym*uEi*vsu*ohs*onA*-</w:t>
            </w:r>
            <w:r>
              <w:rPr>
                <w:rFonts w:ascii="PDF417x" w:hAnsi="PDF417x"/>
                <w:sz w:val="24"/>
                <w:szCs w:val="24"/>
              </w:rPr>
              <w:br/>
              <w:t>+*ftA*yge*mAx*Czr*Dxb*knm*yfb*lDm*svo*ylr*uws*-</w:t>
            </w:r>
            <w:r>
              <w:rPr>
                <w:rFonts w:ascii="PDF417x" w:hAnsi="PDF417x"/>
                <w:sz w:val="24"/>
                <w:szCs w:val="24"/>
              </w:rPr>
              <w:br/>
              <w:t>+*xjq*Bgz*qBj*rFs*Ain*bri*Dtc*bkl*Byu*nEj*uzq*-</w:t>
            </w:r>
            <w:r>
              <w:rPr>
                <w:rFonts w:ascii="PDF417x" w:hAnsi="PDF417x"/>
                <w:sz w:val="24"/>
                <w:szCs w:val="24"/>
              </w:rPr>
              <w:br/>
            </w:r>
          </w:p>
        </w:tc>
      </w:tr>
      <w:bookmarkEnd w:id="0"/>
    </w:tbl>
    <w:tbl>
      <w:tblPr>
        <w:tblStyle w:val="TableGrid1"/>
        <w:tblpPr w:leftFromText="180" w:rightFromText="180" w:vertAnchor="text" w:horzAnchor="page" w:tblpX="5738" w:tblpY="-633"/>
        <w:tblW w:w="0" w:type="auto"/>
        <w:tblLook w:val="04A0" w:firstRow="1" w:lastRow="0" w:firstColumn="1" w:lastColumn="0" w:noHBand="0" w:noVBand="1"/>
      </w:tblPr>
      <w:tblGrid>
        <w:gridCol w:w="5280"/>
      </w:tblGrid>
      <w:tr w:rsidR="00B92D0F" w:rsidRPr="00B92D0F" w14:paraId="2F6E1E83" w14:textId="77777777" w:rsidTr="00B92D0F">
        <w:trPr>
          <w:trHeight w:val="1408"/>
        </w:trPr>
        <w:tc>
          <w:tcPr>
            <w:tcW w:w="5280" w:type="dxa"/>
            <w:tcBorders>
              <w:top w:val="nil"/>
              <w:left w:val="nil"/>
              <w:bottom w:val="nil"/>
              <w:right w:val="nil"/>
            </w:tcBorders>
          </w:tcPr>
          <w:p w14:paraId="5BFA6128" w14:textId="77777777" w:rsidR="00B92D0F" w:rsidRPr="00B92D0F" w:rsidRDefault="00B92D0F" w:rsidP="00A836D0">
            <w:pPr>
              <w:contextualSpacing/>
              <w:rPr>
                <w:rFonts w:ascii="PDF417x" w:eastAsia="Times New Roman" w:hAnsi="PDF417x" w:cs="Times New Roman"/>
                <w:sz w:val="24"/>
                <w:szCs w:val="24"/>
              </w:rPr>
            </w:pPr>
          </w:p>
        </w:tc>
      </w:tr>
    </w:tbl>
    <w:p w14:paraId="49B221CD" w14:textId="77777777" w:rsidR="008C5FE5" w:rsidRDefault="00B92D0F" w:rsidP="00B92D0F">
      <w:pPr>
        <w:jc w:val="both"/>
        <w:rPr>
          <w:rFonts w:eastAsia="Times New Roman" w:cs="Times New Roman"/>
        </w:rPr>
      </w:pPr>
      <w:r w:rsidRPr="00B92D0F">
        <w:rPr>
          <w:rFonts w:eastAsia="Times New Roman" w:cs="Times New Roman"/>
        </w:rPr>
        <w:drawing>
          <wp:anchor distT="0" distB="0" distL="114300" distR="114300" simplePos="0" relativeHeight="251674624" behindDoc="0" locked="0" layoutInCell="1" allowOverlap="1" wp14:anchorId="7A02E439" wp14:editId="2D543F24">
            <wp:simplePos x="0" y="0"/>
            <wp:positionH relativeFrom="column">
              <wp:posOffset>229235</wp:posOffset>
            </wp:positionH>
            <wp:positionV relativeFrom="paragraph">
              <wp:posOffset>-445770</wp:posOffset>
            </wp:positionV>
            <wp:extent cx="335915" cy="445135"/>
            <wp:effectExtent l="0" t="0" r="0" b="0"/>
            <wp:wrapNone/>
            <wp:docPr id="1" name="Slika 1" descr="Grb Hrvatske - Wikip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 descr="Grb Hrvatske - Wikipedia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915" cy="445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881CB8B" w14:textId="3AE56BB9" w:rsidR="008C5FE5" w:rsidRDefault="003F65C1" w:rsidP="00B92D0F">
      <w:pPr>
        <w:jc w:val="both"/>
        <w:rPr>
          <w:rFonts w:ascii="Calibri" w:eastAsia="Times New Roman" w:hAnsi="Calibri" w:cs="Calibri"/>
          <w:noProof w:val="0"/>
          <w:color w:val="000000"/>
          <w:lang w:eastAsia="hr-HR"/>
        </w:rPr>
      </w:pPr>
      <w:r>
        <w:rPr>
          <w:rFonts w:ascii="Calibri" w:eastAsia="Times New Roman" w:hAnsi="Calibri" w:cs="Calibri"/>
          <w:noProof w:val="0"/>
          <w:color w:val="000000"/>
          <w:lang w:eastAsia="hr-HR"/>
        </w:rPr>
        <w:t>REPUBLIKA HRVATSKA</w:t>
      </w:r>
    </w:p>
    <w:p w14:paraId="5D63EA5D" w14:textId="0D95B4FA" w:rsidR="00922DDC" w:rsidRDefault="00922DDC" w:rsidP="00B92D0F">
      <w:pPr>
        <w:jc w:val="both"/>
        <w:rPr>
          <w:rFonts w:ascii="Calibri" w:eastAsia="Times New Roman" w:hAnsi="Calibri" w:cs="Calibri"/>
          <w:noProof w:val="0"/>
          <w:color w:val="000000"/>
          <w:lang w:eastAsia="hr-HR"/>
        </w:rPr>
      </w:pPr>
      <w:r>
        <w:rPr>
          <w:rFonts w:ascii="Calibri" w:eastAsia="Times New Roman" w:hAnsi="Calibri" w:cs="Calibri"/>
          <w:noProof w:val="0"/>
          <w:color w:val="000000"/>
          <w:lang w:eastAsia="hr-HR"/>
        </w:rPr>
        <w:t>BJELOVARSKO-BILOGORSKA ŽUPANIJA</w:t>
      </w:r>
    </w:p>
    <w:p w14:paraId="75F812B6" w14:textId="19D38C5E" w:rsidR="008C5FE5" w:rsidRDefault="00922DDC" w:rsidP="00B92D0F">
      <w:pPr>
        <w:jc w:val="both"/>
        <w:rPr>
          <w:rFonts w:ascii="Calibri" w:eastAsia="Times New Roman" w:hAnsi="Calibri" w:cs="Calibri"/>
          <w:noProof w:val="0"/>
          <w:color w:val="000000"/>
          <w:lang w:eastAsia="hr-HR"/>
        </w:rPr>
      </w:pPr>
      <w:r>
        <w:rPr>
          <w:rFonts w:ascii="Calibri" w:eastAsia="Times New Roman" w:hAnsi="Calibri" w:cs="Calibri"/>
          <w:noProof w:val="0"/>
          <w:color w:val="000000"/>
          <w:lang w:eastAsia="hr-HR"/>
        </w:rPr>
        <w:t>GRAD GAREŠNICA</w:t>
      </w:r>
    </w:p>
    <w:p w14:paraId="19293C15" w14:textId="0EBDCFFF" w:rsidR="000A6040" w:rsidRDefault="000A6040" w:rsidP="000B7230">
      <w:pPr>
        <w:jc w:val="both"/>
        <w:rPr>
          <w:rFonts w:ascii="Calibri" w:eastAsia="Times New Roman" w:hAnsi="Calibri" w:cs="Calibri"/>
          <w:noProof w:val="0"/>
          <w:color w:val="000000"/>
          <w:lang w:eastAsia="hr-HR"/>
        </w:rPr>
      </w:pPr>
      <w:r>
        <w:rPr>
          <w:rFonts w:ascii="Calibri" w:eastAsia="Times New Roman" w:hAnsi="Calibri" w:cs="Calibri"/>
          <w:noProof w:val="0"/>
          <w:color w:val="000000"/>
          <w:lang w:eastAsia="hr-HR"/>
        </w:rPr>
        <w:t xml:space="preserve">UPRAVNI ODJEL ZA </w:t>
      </w:r>
      <w:r w:rsidR="000B7230">
        <w:rPr>
          <w:rFonts w:ascii="Calibri" w:eastAsia="Times New Roman" w:hAnsi="Calibri" w:cs="Calibri"/>
          <w:noProof w:val="0"/>
          <w:color w:val="000000"/>
          <w:lang w:eastAsia="hr-HR"/>
        </w:rPr>
        <w:t>GOSPODARSTVO</w:t>
      </w:r>
    </w:p>
    <w:p w14:paraId="22E11BD7" w14:textId="7D65E14B" w:rsidR="000B7230" w:rsidRDefault="000B7230" w:rsidP="000B7230">
      <w:pPr>
        <w:jc w:val="both"/>
        <w:rPr>
          <w:rFonts w:ascii="Calibri" w:eastAsia="Times New Roman" w:hAnsi="Calibri" w:cs="Calibri"/>
          <w:noProof w:val="0"/>
          <w:color w:val="000000"/>
          <w:lang w:eastAsia="hr-HR"/>
        </w:rPr>
      </w:pPr>
      <w:r>
        <w:rPr>
          <w:rFonts w:ascii="Calibri" w:eastAsia="Times New Roman" w:hAnsi="Calibri" w:cs="Calibri"/>
          <w:noProof w:val="0"/>
          <w:color w:val="000000"/>
          <w:lang w:eastAsia="hr-HR"/>
        </w:rPr>
        <w:t>I KOMUNALNI SUSTAV</w:t>
      </w:r>
    </w:p>
    <w:p w14:paraId="3379EE20" w14:textId="2F132CE8" w:rsidR="00B92D0F" w:rsidRPr="00B92D0F" w:rsidRDefault="00B92D0F" w:rsidP="00B92D0F">
      <w:pPr>
        <w:jc w:val="both"/>
        <w:rPr>
          <w:rFonts w:eastAsia="Times New Roman" w:cs="Times New Roman"/>
          <w:noProof w:val="0"/>
        </w:rPr>
      </w:pPr>
      <w:r w:rsidRPr="00B92D0F">
        <w:rPr>
          <w:rFonts w:ascii="Calibri" w:eastAsia="Times New Roman" w:hAnsi="Calibri" w:cs="Calibri"/>
          <w:noProof w:val="0"/>
          <w:color w:val="000000"/>
          <w:lang w:eastAsia="hr-HR"/>
        </w:rPr>
        <w:tab/>
      </w:r>
      <w:r w:rsidRPr="00B92D0F">
        <w:rPr>
          <w:rFonts w:ascii="Calibri" w:eastAsia="Times New Roman" w:hAnsi="Calibri" w:cs="Calibri"/>
          <w:noProof w:val="0"/>
          <w:color w:val="000000"/>
          <w:lang w:eastAsia="hr-HR"/>
        </w:rPr>
        <w:tab/>
      </w:r>
      <w:r w:rsidRPr="00B92D0F">
        <w:rPr>
          <w:rFonts w:ascii="Calibri" w:eastAsia="Times New Roman" w:hAnsi="Calibri" w:cs="Calibri"/>
          <w:noProof w:val="0"/>
          <w:color w:val="000000"/>
          <w:lang w:eastAsia="hr-HR"/>
        </w:rPr>
        <w:tab/>
      </w:r>
    </w:p>
    <w:p w14:paraId="67B11731" w14:textId="77C2F2BF" w:rsidR="00B92D0F" w:rsidRPr="00275B0C" w:rsidRDefault="00C9578C" w:rsidP="00B92D0F">
      <w:r>
        <w:rPr>
          <w:rFonts w:ascii="Calibri" w:eastAsia="Times New Roman" w:hAnsi="Calibri" w:cs="Calibri"/>
          <w:noProof w:val="0"/>
          <w:color w:val="000000"/>
          <w:lang w:eastAsia="hr-HR"/>
        </w:rPr>
        <w:t>KLASA:</w:t>
      </w:r>
      <w:r w:rsidR="00275B0C">
        <w:rPr>
          <w:rFonts w:ascii="Calibri" w:eastAsia="Times New Roman" w:hAnsi="Calibri" w:cs="Calibri"/>
          <w:noProof w:val="0"/>
          <w:color w:val="000000"/>
          <w:lang w:eastAsia="hr-HR"/>
        </w:rPr>
        <w:t xml:space="preserve"> </w:t>
      </w:r>
      <w:r>
        <w:rPr>
          <w:rFonts w:ascii="Calibri" w:eastAsia="Times New Roman" w:hAnsi="Calibri" w:cs="Calibri"/>
          <w:noProof w:val="0"/>
          <w:color w:val="000000"/>
          <w:lang w:eastAsia="hr-HR"/>
        </w:rPr>
        <w:t xml:space="preserve"> </w:t>
      </w:r>
      <w:r w:rsidR="00B92D0F" w:rsidRPr="00B92D0F">
        <w:rPr>
          <w:rFonts w:ascii="Calibri" w:eastAsia="Times New Roman" w:hAnsi="Calibri" w:cs="Calibri"/>
          <w:noProof w:val="0"/>
          <w:color w:val="000000"/>
          <w:lang w:eastAsia="hr-HR"/>
        </w:rPr>
        <w:t>363-03/26-01/2</w:t>
      </w:r>
      <w:r w:rsidR="008C5FE5">
        <w:rPr>
          <w:rFonts w:ascii="Calibri" w:eastAsia="Times New Roman" w:hAnsi="Calibri" w:cs="Calibri"/>
          <w:noProof w:val="0"/>
          <w:color w:val="000000"/>
          <w:lang w:eastAsia="hr-HR"/>
        </w:rPr>
        <w:t xml:space="preserve"> </w:t>
      </w:r>
    </w:p>
    <w:p w14:paraId="0FD39D47" w14:textId="3B225B5A" w:rsidR="00B92D0F" w:rsidRPr="00B92D0F" w:rsidRDefault="00C9578C" w:rsidP="00B92D0F">
      <w:pPr>
        <w:rPr>
          <w:rFonts w:ascii="Calibri" w:eastAsia="Times New Roman" w:hAnsi="Calibri" w:cs="Calibri"/>
          <w:noProof w:val="0"/>
          <w:color w:val="000000"/>
          <w:lang w:eastAsia="hr-HR"/>
        </w:rPr>
      </w:pPr>
      <w:r>
        <w:rPr>
          <w:rFonts w:ascii="Calibri" w:eastAsia="Times New Roman" w:hAnsi="Calibri" w:cs="Calibri"/>
          <w:noProof w:val="0"/>
          <w:color w:val="000000"/>
          <w:lang w:eastAsia="hr-HR"/>
        </w:rPr>
        <w:t xml:space="preserve">URBROJ: </w:t>
      </w:r>
      <w:r w:rsidR="00B92D0F" w:rsidRPr="00B92D0F">
        <w:rPr>
          <w:rFonts w:ascii="Calibri" w:eastAsia="Times New Roman" w:hAnsi="Calibri" w:cs="Calibri"/>
          <w:noProof w:val="0"/>
          <w:color w:val="000000"/>
          <w:lang w:eastAsia="hr-HR"/>
        </w:rPr>
        <w:t>2103-4-03-26-1</w:t>
      </w:r>
    </w:p>
    <w:p w14:paraId="4445648A" w14:textId="5A4F4B93" w:rsidR="00B92D0F" w:rsidRPr="00B92D0F" w:rsidRDefault="008506B6" w:rsidP="00B92D0F">
      <w:pPr>
        <w:rPr>
          <w:rFonts w:ascii="Calibri" w:eastAsia="Times New Roman" w:hAnsi="Calibri" w:cs="Calibri"/>
          <w:noProof w:val="0"/>
          <w:color w:val="000000"/>
          <w:lang w:eastAsia="hr-HR"/>
        </w:rPr>
      </w:pPr>
      <w:r>
        <w:rPr>
          <w:rFonts w:ascii="Calibri" w:eastAsia="Times New Roman" w:hAnsi="Calibri" w:cs="Calibri"/>
          <w:noProof w:val="0"/>
          <w:lang w:eastAsia="hr-HR"/>
        </w:rPr>
        <w:t>Garešnica</w:t>
      </w:r>
      <w:r w:rsidR="00C9578C" w:rsidRPr="003F65C1">
        <w:rPr>
          <w:rFonts w:ascii="Calibri" w:eastAsia="Times New Roman" w:hAnsi="Calibri" w:cs="Calibri"/>
          <w:noProof w:val="0"/>
          <w:lang w:eastAsia="hr-HR"/>
        </w:rPr>
        <w:t xml:space="preserve">, </w:t>
      </w:r>
      <w:r w:rsidR="00B92D0F" w:rsidRPr="00B92D0F">
        <w:rPr>
          <w:rFonts w:ascii="Calibri" w:eastAsia="Times New Roman" w:hAnsi="Calibri" w:cs="Calibri"/>
          <w:noProof w:val="0"/>
          <w:color w:val="000000"/>
          <w:lang w:eastAsia="hr-HR"/>
        </w:rPr>
        <w:t>10.08.2026.</w:t>
      </w:r>
    </w:p>
    <w:p w14:paraId="74527F6F" w14:textId="77777777" w:rsidR="00085179" w:rsidRDefault="00085179" w:rsidP="00085179">
      <w:pPr>
        <w:jc w:val="right"/>
        <w:rPr>
          <w:b/>
          <w:bCs/>
        </w:rPr>
      </w:pPr>
    </w:p>
    <w:p w14:paraId="1BEFB8F1" w14:textId="77777777" w:rsidR="00085179" w:rsidRPr="00000DF9" w:rsidRDefault="00085179" w:rsidP="00085179">
      <w:pPr>
        <w:jc w:val="right"/>
        <w:rPr>
          <w:b/>
          <w:bCs/>
        </w:rPr>
      </w:pPr>
      <w:r w:rsidRPr="00000DF9">
        <w:rPr>
          <w:b/>
          <w:bCs/>
        </w:rPr>
        <w:t>- P R I J E D L O G -</w:t>
      </w:r>
    </w:p>
    <w:p w14:paraId="5696B384" w14:textId="77777777" w:rsidR="00085179" w:rsidRDefault="00085179" w:rsidP="00085179">
      <w:pPr>
        <w:jc w:val="both"/>
      </w:pPr>
    </w:p>
    <w:p w14:paraId="6E71B11B" w14:textId="77777777" w:rsidR="00085179" w:rsidRDefault="00085179" w:rsidP="00085179">
      <w:pPr>
        <w:jc w:val="both"/>
      </w:pPr>
    </w:p>
    <w:p w14:paraId="1AA45711" w14:textId="77777777" w:rsidR="00085179" w:rsidRDefault="00085179" w:rsidP="00085179">
      <w:pPr>
        <w:jc w:val="both"/>
      </w:pPr>
      <w:bookmarkStart w:id="1" w:name="_heading=h.87z3n3gn1mn" w:colFirst="0" w:colLast="0"/>
      <w:bookmarkEnd w:id="1"/>
      <w:r>
        <w:t xml:space="preserve">Na temelju članka 98. stavka 1. Zakona o komunalnom gospodarstvu (Narodne novine, broj </w:t>
      </w:r>
      <w:r w:rsidRPr="003E4D28">
        <w:t>68/2018,</w:t>
      </w:r>
      <w:r>
        <w:t xml:space="preserve"> </w:t>
      </w:r>
      <w:r w:rsidRPr="003E4D28">
        <w:t>110/2018,</w:t>
      </w:r>
      <w:r>
        <w:t xml:space="preserve"> </w:t>
      </w:r>
      <w:r w:rsidRPr="003E4D28">
        <w:t>32/2020</w:t>
      </w:r>
      <w:r>
        <w:t xml:space="preserve"> i </w:t>
      </w:r>
      <w:r w:rsidRPr="003E4D28">
        <w:t>145/2024</w:t>
      </w:r>
      <w:r>
        <w:t xml:space="preserve">) i članka 35. Statuta Grada Garešnica (Službeni glasnik Grada Garešnice, broj 2/21 i 3/25), Gradsko vijeće Grada Garešnice na svojoj __. sjednici, održanoj dana ___________ 2026. godine, donijelo je </w:t>
      </w:r>
    </w:p>
    <w:p w14:paraId="2DACDD33" w14:textId="77777777" w:rsidR="00085179" w:rsidRDefault="00085179" w:rsidP="00085179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bCs/>
          <w:color w:val="000000"/>
        </w:rPr>
      </w:pPr>
    </w:p>
    <w:p w14:paraId="5BAEC5F1" w14:textId="77777777" w:rsidR="00085179" w:rsidRDefault="00085179" w:rsidP="00085179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O D L U K U</w:t>
      </w:r>
    </w:p>
    <w:p w14:paraId="5AEC9547" w14:textId="77777777" w:rsidR="00085179" w:rsidRDefault="00085179" w:rsidP="00085179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o određivanju vrijednosti boda komunalne naknade</w:t>
      </w:r>
    </w:p>
    <w:p w14:paraId="41279FC2" w14:textId="77777777" w:rsidR="00085179" w:rsidRDefault="00085179" w:rsidP="00085179"/>
    <w:p w14:paraId="28289C96" w14:textId="77777777" w:rsidR="00085179" w:rsidRDefault="00085179" w:rsidP="00085179"/>
    <w:p w14:paraId="390BE86E" w14:textId="77777777" w:rsidR="00085179" w:rsidRDefault="00085179" w:rsidP="00085179">
      <w:pPr>
        <w:jc w:val="center"/>
        <w:rPr>
          <w:b/>
          <w:bCs/>
        </w:rPr>
      </w:pPr>
      <w:r>
        <w:rPr>
          <w:b/>
          <w:bCs/>
        </w:rPr>
        <w:t>Članak 1.</w:t>
      </w:r>
    </w:p>
    <w:p w14:paraId="18E097CF" w14:textId="5693EDD0" w:rsidR="00085179" w:rsidRDefault="00085179" w:rsidP="00085179">
      <w:r>
        <w:t xml:space="preserve">Ovom odlukom </w:t>
      </w:r>
      <w:r w:rsidR="00BB3FFD">
        <w:t>određuje</w:t>
      </w:r>
      <w:r>
        <w:t xml:space="preserve"> se vrijednost boda komunalne naknade (B) na području Grada Garešnice.</w:t>
      </w:r>
    </w:p>
    <w:p w14:paraId="7B2C9D7D" w14:textId="77777777" w:rsidR="00085179" w:rsidRDefault="00085179" w:rsidP="00085179">
      <w:r>
        <w:t> </w:t>
      </w:r>
    </w:p>
    <w:p w14:paraId="79A2B493" w14:textId="77777777" w:rsidR="00085179" w:rsidRPr="00347016" w:rsidRDefault="00085179" w:rsidP="00085179">
      <w:pPr>
        <w:jc w:val="center"/>
        <w:rPr>
          <w:b/>
          <w:bCs/>
        </w:rPr>
      </w:pPr>
      <w:r w:rsidRPr="00347016">
        <w:rPr>
          <w:b/>
          <w:bCs/>
        </w:rPr>
        <w:t>Članak 2.</w:t>
      </w:r>
    </w:p>
    <w:p w14:paraId="71F66874" w14:textId="77777777" w:rsidR="00085179" w:rsidRDefault="00085179" w:rsidP="00085179">
      <w:pPr>
        <w:jc w:val="both"/>
      </w:pPr>
      <w:r w:rsidRPr="00347016">
        <w:t>Vrijednost boda iz članka 1. ove Odluke iznosi 0,80 eura godišnje po četvornom metru (m</w:t>
      </w:r>
      <w:r w:rsidRPr="00347016">
        <w:rPr>
          <w:vertAlign w:val="superscript"/>
        </w:rPr>
        <w:t>2</w:t>
      </w:r>
      <w:r w:rsidRPr="00347016">
        <w:t>) korisne površine stambenog prostora u prvoj zoni Grada Garešnice, odnosno u visini od 0,20 eura po četvornome metru (m²) korisne površine stambenog prostora u prvoj zoni Grada Garešnice tromjesečno (kvartalno), u slučaju kada se komunalna naknada obračunava i plaća u obrocima.</w:t>
      </w:r>
    </w:p>
    <w:p w14:paraId="1512307D" w14:textId="77777777" w:rsidR="00085179" w:rsidRDefault="00085179" w:rsidP="00085179">
      <w:r>
        <w:t> </w:t>
      </w:r>
    </w:p>
    <w:p w14:paraId="75DAF91C" w14:textId="77777777" w:rsidR="00085179" w:rsidRDefault="00085179" w:rsidP="00085179">
      <w:pPr>
        <w:jc w:val="center"/>
        <w:rPr>
          <w:b/>
          <w:bCs/>
        </w:rPr>
      </w:pPr>
      <w:r>
        <w:rPr>
          <w:b/>
          <w:bCs/>
        </w:rPr>
        <w:t>Članak 3.</w:t>
      </w:r>
    </w:p>
    <w:p w14:paraId="6C938EDF" w14:textId="77777777" w:rsidR="00085179" w:rsidRDefault="00085179" w:rsidP="00085179">
      <w:pPr>
        <w:jc w:val="both"/>
      </w:pPr>
      <w:r>
        <w:t>Stupanjem na snagu ove Odluke prestaje važiti Odluka o određivanju vrijednosti boda komunalne naknade (Službeni glasnik Grada Garešnice, broj 5/18).</w:t>
      </w:r>
    </w:p>
    <w:p w14:paraId="73DCE9D5" w14:textId="77777777" w:rsidR="00085179" w:rsidRDefault="00085179" w:rsidP="00085179"/>
    <w:p w14:paraId="7D039513" w14:textId="77777777" w:rsidR="00085179" w:rsidRDefault="00085179" w:rsidP="00085179">
      <w:pPr>
        <w:jc w:val="center"/>
        <w:rPr>
          <w:b/>
          <w:bCs/>
        </w:rPr>
      </w:pPr>
      <w:r>
        <w:rPr>
          <w:b/>
          <w:bCs/>
        </w:rPr>
        <w:t>Članak 4.</w:t>
      </w:r>
    </w:p>
    <w:p w14:paraId="0D7AEE1F" w14:textId="77777777" w:rsidR="00085179" w:rsidRDefault="00085179" w:rsidP="00085179">
      <w:pPr>
        <w:jc w:val="both"/>
      </w:pPr>
      <w:r>
        <w:t>Ova Odluka objavit će se u Službenom glasniku Grada Garešnice, a stupa na snagu 1. siječnja 2027. godine.</w:t>
      </w:r>
    </w:p>
    <w:p w14:paraId="400DC43F" w14:textId="77777777" w:rsidR="00085179" w:rsidRDefault="00085179" w:rsidP="00085179"/>
    <w:p w14:paraId="6B2E8C6F" w14:textId="77777777" w:rsidR="00085179" w:rsidRDefault="00085179" w:rsidP="00085179">
      <w:r>
        <w:tab/>
      </w:r>
      <w:r>
        <w:tab/>
      </w:r>
      <w:r>
        <w:tab/>
        <w:t xml:space="preserve">                                           </w:t>
      </w:r>
      <w:r>
        <w:tab/>
      </w:r>
    </w:p>
    <w:p w14:paraId="73CE7F93" w14:textId="77777777" w:rsidR="00085179" w:rsidRDefault="00085179" w:rsidP="00085179">
      <w:pPr>
        <w:ind w:left="4248" w:firstLine="708"/>
      </w:pPr>
      <w:r>
        <w:t>Predsjednik Gradskog vijeća</w:t>
      </w:r>
    </w:p>
    <w:p w14:paraId="540110FA" w14:textId="1692DA62" w:rsidR="00085179" w:rsidRDefault="00085179" w:rsidP="00085179"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   Željko Starčević</w:t>
      </w:r>
    </w:p>
    <w:p w14:paraId="47F53A49" w14:textId="77777777" w:rsidR="00085179" w:rsidRDefault="00085179" w:rsidP="00085179">
      <w:pPr>
        <w:spacing w:after="160"/>
      </w:pPr>
    </w:p>
    <w:p w14:paraId="111FECBB" w14:textId="77777777" w:rsidR="00085179" w:rsidRPr="00B92D0F" w:rsidRDefault="00085179" w:rsidP="00B92D0F">
      <w:pPr>
        <w:spacing w:after="160" w:line="259" w:lineRule="auto"/>
        <w:rPr>
          <w:rFonts w:eastAsia="Times New Roman" w:cs="Times New Roman"/>
          <w:noProof w:val="0"/>
        </w:rPr>
      </w:pPr>
    </w:p>
    <w:p w14:paraId="1BD4E6FF" w14:textId="77777777" w:rsidR="00D707B3" w:rsidRDefault="00D707B3" w:rsidP="00D707B3"/>
    <w:p w14:paraId="51AE9230" w14:textId="77777777" w:rsidR="00D707B3" w:rsidRPr="0063773E" w:rsidRDefault="00D707B3" w:rsidP="00D707B3">
      <w:pPr>
        <w:jc w:val="right"/>
        <w:rPr>
          <w:rFonts w:ascii="Calibri" w:eastAsia="Times New Roman" w:hAnsi="Calibri" w:cs="Calibri"/>
          <w:color w:val="000000"/>
          <w:lang w:eastAsia="hr-HR"/>
        </w:rPr>
      </w:pPr>
    </w:p>
    <w:p w14:paraId="75975BBE" w14:textId="77777777" w:rsidR="00B92D0F" w:rsidRPr="00B92D0F" w:rsidRDefault="00B92D0F" w:rsidP="00B92D0F">
      <w:pPr>
        <w:spacing w:after="160" w:line="259" w:lineRule="auto"/>
        <w:rPr>
          <w:rFonts w:eastAsia="Times New Roman" w:cs="Times New Roman"/>
          <w:noProof w:val="0"/>
        </w:rPr>
      </w:pPr>
    </w:p>
    <w:p w14:paraId="4AA78142" w14:textId="77777777" w:rsidR="00B92D0F" w:rsidRPr="00B92D0F" w:rsidRDefault="00B92D0F" w:rsidP="00B92D0F">
      <w:pPr>
        <w:spacing w:after="160" w:line="259" w:lineRule="auto"/>
        <w:rPr>
          <w:rFonts w:eastAsia="Times New Roman" w:cs="Times New Roman"/>
          <w:noProof w:val="0"/>
        </w:rPr>
      </w:pPr>
    </w:p>
    <w:p w14:paraId="53408CE5" w14:textId="1983C1C6" w:rsidR="008A562A" w:rsidRDefault="008A562A">
      <w:pPr>
        <w:rPr>
          <w:b/>
        </w:rPr>
      </w:pPr>
    </w:p>
    <w:sectPr w:rsidR="008A562A">
      <w:pgSz w:w="11906" w:h="16838"/>
      <w:pgMar w:top="1417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DF417x">
    <w:altName w:val="Calibri"/>
    <w:panose1 w:val="02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562A"/>
    <w:rsid w:val="00055D52"/>
    <w:rsid w:val="00085179"/>
    <w:rsid w:val="000A6040"/>
    <w:rsid w:val="000B7230"/>
    <w:rsid w:val="00275B0C"/>
    <w:rsid w:val="002A5F3B"/>
    <w:rsid w:val="00347D72"/>
    <w:rsid w:val="003F65C1"/>
    <w:rsid w:val="00575A03"/>
    <w:rsid w:val="00693AB1"/>
    <w:rsid w:val="008506B6"/>
    <w:rsid w:val="008A562A"/>
    <w:rsid w:val="008C5FE5"/>
    <w:rsid w:val="00922DDC"/>
    <w:rsid w:val="009B7A12"/>
    <w:rsid w:val="00A836D0"/>
    <w:rsid w:val="00AC35DA"/>
    <w:rsid w:val="00B92D0F"/>
    <w:rsid w:val="00BB3FFD"/>
    <w:rsid w:val="00C9578C"/>
    <w:rsid w:val="00D707B3"/>
    <w:rsid w:val="00DC2F7E"/>
    <w:rsid w:val="00DF7EA3"/>
    <w:rsid w:val="00E43F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612B23"/>
  <w15:docId w15:val="{7E9C13B6-BB92-4001-B652-D4CCA20A8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Pr>
      <w:color w:val="0000FF"/>
      <w:u w:val="single"/>
    </w:rPr>
  </w:style>
  <w:style w:type="table" w:customStyle="1" w:styleId="TableGrid1">
    <w:name w:val="Table Grid1"/>
    <w:basedOn w:val="TableNormal"/>
    <w:next w:val="TableGrid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133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4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2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w15="http://schemas.microsoft.com/office/word/2012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"/>
</file>

<file path=customXml/itemProps1.xml><?xml version="1.0" encoding="utf-8"?>
<ds:datastoreItem xmlns:ds="http://schemas.openxmlformats.org/officeDocument/2006/customXml" ds:itemID="{0133A3CF-74C3-4F01-80C1-00272FA38F61}">
  <ds:schemaRefs>
    <ds:schemaRef ds:uri="http://schemas.openxmlformats.org/wordprocessingml/2006/main"/>
    <ds:schemaRef ds:uri="http://schemas.openxmlformats.org/officeDocument/2006/math"/>
    <ds:schemaRef ds:uri="http://schemas.microsoft.com/office/word/2010/wordml"/>
    <ds:schemaRef ds:uri="http://schemas.microsoft.com/office/word/2012/wordml"/>
    <ds:schemaRef ds:uri="http://schemas.openxmlformats.org/officeDocument/2006/relationships"/>
    <ds:schemaRef ds:uri="http://schemas.openxmlformats.org/drawingml/2006/wordprocessingDrawing"/>
    <ds:schemaRef ds:uri="http://schemas.openxmlformats.org/drawingml/2006/main"/>
    <ds:schemaRef ds:uri="http://schemas.microsoft.com/office/word/2010/wordprocessingDrawing"/>
    <ds:schemaRef ds:uri="http://schemas.openxmlformats.org/markup-compatibility/2006"/>
    <ds:schemaRef ds:uri="http://schemas.microsoft.com/office/drawing/2010/main"/>
    <ds:schemaRef ds:uri="http://schemas.openxmlformats.org/schemaLibrary/2006/main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microsoft.com/office/drawing/2007/8/2/chart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excel"/>
    <ds:schemaRef ds:uri="urn:schemas-microsoft-com:office:office"/>
    <ds:schemaRef ds:uri="urn:schemas-microsoft-com:vm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microsoft.com/ink/2010/main"/>
    <ds:schemaRef ds:uri="http://schemas.microsoft.com/office/drawing/2010/chartDrawing"/>
    <ds:schemaRef ds:uri="http://schemas.microsoft.com/office/drawing/2012/chart"/>
    <ds:schemaRef ds:uri="http://schemas.microsoft.com/office/drawing/2012/chartStyle"/>
    <ds:schemaRef ds:uri="http://www.w3.org/1998/Math/MathML"/>
    <ds:schemaRef ds:uri="http://www.w3.org/2003/InkML"/>
    <ds:schemaRef ds:uri="http://schemas.microsoft.com/office/drawing/2013/main/command"/>
    <ds:schemaRef ds:uri="http://schemas.microsoft.com/office/drawing/2014/chartex"/>
    <ds:schemaRef ds:uri="http://schemas.microsoft.com/office/drawing/2014/chart"/>
    <ds:schemaRef ds:uri="http://schemas.microsoft.com/office/drawing/2016/11/diagram"/>
    <ds:schemaRef ds:uri="http://schemas.microsoft.com/office/drawing/2017/03/chart"/>
    <ds:schemaRef ds:uri="http://schemas.microsoft.com/office/drawing/2017/model3d"/>
    <ds:schemaRef ds:uri="http://schemas.microsoft.com/office/drawing/2018/animation"/>
    <ds:schemaRef ds:uri="http://schemas.microsoft.com/office/drawing/2018/animation/model3d"/>
    <ds:schemaRef ds:uri="http://schemas.microsoft.com/office/powerpoint/2014/inkAction"/>
    <ds:schemaRef ds:uri="http://schemas.microsoft.com/office/thememl/2012/main"/>
    <ds:schemaRef ds:uri="http://schemas.microsoft.com/office/word/2010/wordprocessingShape"/>
    <ds:schemaRef ds:uri="http://schemas.microsoft.com/office/word/2010/wordprocessingCanvas"/>
    <ds:schemaRef ds:uri="http://schemas.microsoft.com/office/word/2010/wordprocessingGroup"/>
    <ds:schemaRef ds:uri="http://schemas.microsoft.com/office/word/2015/wordml/symex"/>
    <ds:schemaRef ds:uri="http://schemas.microsoft.com/office/word/2016/wordml/cid"/>
    <ds:schemaRef ds:uri="http://schemas.microsoft.com/office/webextensions/taskpanes/2010/11"/>
    <ds:schemaRef ds:uri="http://schemas.microsoft.com/office/webextensions/webextension/2010/11"/>
    <ds:schemaRef ds:uri="http://schemas.openxmlformats.org/drawingml/2006/compatibility"/>
    <ds:schemaRef ds:uri="http://schemas.openxmlformats.org/drawingml/2006/lockedCanvas"/>
    <ds:schemaRef ds:uri="http://schemas.microsoft.com/office/drawing/2010/diagram"/>
    <ds:schemaRef ds:uri="http://schemas.microsoft.com/office/drawing/2012/main"/>
    <ds:schemaRef ds:uri="http://schemas.microsoft.com/office/drawing/2010/picture"/>
    <ds:schemaRef ds:uri="http://schemas.microsoft.com/office/drawing/2014/chart/ac"/>
    <ds:schemaRef ds:uri="http://schemas.microsoft.com/office/drawing/2014/main"/>
    <ds:schemaRef ds:uri="http://schemas.microsoft.com/office/drawing/2016/11/main"/>
    <ds:schemaRef ds:uri="http://schemas.microsoft.com/office/drawing/2016/12/diagram"/>
    <ds:schemaRef ds:uri="http://schemas.microsoft.com/office/drawing/2016/SVG/main"/>
    <ds:schemaRef ds:uri="http://schemas.microsoft.com/office/drawing/2017/decorative"/>
    <ds:schemaRef ds:uri="http://schemas.microsoft.com/office/drawing/2018/hyperlinkcolor"/>
    <ds:schemaRef ds:uri="http://schemas.microsoft.com/office/word/2012/wordprocessingDrawing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266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MIKRESIMIR</dc:creator>
  <cp:lastModifiedBy>Johan Hima</cp:lastModifiedBy>
  <cp:revision>6</cp:revision>
  <cp:lastPrinted>2014-11-26T14:09:00Z</cp:lastPrinted>
  <dcterms:created xsi:type="dcterms:W3CDTF">2023-03-02T09:53:00Z</dcterms:created>
  <dcterms:modified xsi:type="dcterms:W3CDTF">2026-08-10T10:08:00Z</dcterms:modified>
</cp:coreProperties>
</file>