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+*yqw*BjB*yam*Czr*xaD*mDo*yCn*yla*ugC*uyb*zew*-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+*eDs*oly*lyd*lyd*lyd*ozm*bBr*jDg*hkj*Amy*zfE*-</w:t>
            </w:r>
            <w:r>
              <w:rPr>
                <w:rFonts w:ascii="PDF417x" w:hAnsi="PDF417x"/>
                <w:sz w:val="24"/>
                <w:szCs w:val="24"/>
              </w:rPr>
              <w:br/>
              <w:t>+*ftw*DbD*swd*BqE*uhw*tos*Alc*vgw*gbD*lsu*onA*-</w:t>
            </w:r>
            <w:r>
              <w:rPr>
                <w:rFonts w:ascii="PDF417x" w:hAnsi="PDF417x"/>
                <w:sz w:val="24"/>
                <w:szCs w:val="24"/>
              </w:rPr>
              <w:br/>
              <w:t>+*ftA*gdz*owC*klu*sdm*ojg*sqE*zgf*gbt*sdl*uws*-</w:t>
            </w:r>
            <w:r>
              <w:rPr>
                <w:rFonts w:ascii="PDF417x" w:hAnsi="PDF417x"/>
                <w:sz w:val="24"/>
                <w:szCs w:val="24"/>
              </w:rPr>
              <w:br/>
              <w:t>+*xjq*zcu*mCz*nmb*kzd*aEw*bdk*bvc*Bvb*luw*uzq*-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966E78">
            <wp:simplePos x="0" y="0"/>
            <wp:positionH relativeFrom="column">
              <wp:posOffset>230505</wp:posOffset>
            </wp:positionH>
            <wp:positionV relativeFrom="paragraph">
              <wp:posOffset>-442595</wp:posOffset>
            </wp:positionV>
            <wp:extent cx="440858" cy="584200"/>
            <wp:effectExtent l="0" t="0" r="0" b="635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8" cy="5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627A2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627A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627A2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627A2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39AA9923" w:rsidR="00B92D0F" w:rsidRPr="003627A2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3627A2" w:rsidRDefault="00C9578C" w:rsidP="00B92D0F">
      <w:pPr>
        <w:rPr>
          <w:sz w:val="24"/>
          <w:szCs w:val="24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402-03/24-01/13</w:t>
      </w:r>
      <w:r w:rsidR="008C5FE5"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3627A2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2103-4-02-25-17</w:t>
      </w:r>
    </w:p>
    <w:p w14:paraId="6288A7D1" w14:textId="656DA046" w:rsidR="00B92D0F" w:rsidRPr="003627A2" w:rsidRDefault="00B1589A" w:rsidP="003627A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627A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627A2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627A2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26.02.2025.</w:t>
      </w:r>
    </w:p>
    <w:p w14:paraId="1BD4E6FF" w14:textId="77777777" w:rsidR="00D707B3" w:rsidRPr="003627A2" w:rsidRDefault="00D707B3" w:rsidP="00D707B3">
      <w:pPr>
        <w:rPr>
          <w:sz w:val="24"/>
          <w:szCs w:val="24"/>
        </w:rPr>
      </w:pPr>
    </w:p>
    <w:p w14:paraId="2A25F625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Na temelju članka 29. stavka 6. </w:t>
      </w:r>
      <w:bookmarkStart w:id="1" w:name="_Hlk191456038"/>
      <w:r w:rsidRPr="003627A2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– dalje: Uredba („Narodne novine“, broj: 26/15 i 37/21)</w:t>
      </w:r>
      <w:bookmarkEnd w:id="1"/>
      <w:r w:rsidRPr="003627A2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2/21), a temeljem provedenog Javnog natječaja za predlaganje programa i projekata udruga osoba s invaliditetom i humanitarnih udruga Grada Garešnica u 2025. godini objavljenog 04. prosinca 2024. godine, na prijedlog Povjerenstva za ocjenjivanje prijavljenih programa, projekata, aktivnosti i manifestacija koje se financiraju iz Proračuna Grada Garešnice, gradonačelnik Grada Garešnice dana 26. veljače 2025. godine donosi sljedeću,</w:t>
      </w:r>
    </w:p>
    <w:p w14:paraId="0D60A8FC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503F8039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O D L U K U</w:t>
      </w:r>
    </w:p>
    <w:p w14:paraId="2F26D8C9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o dodjeli financijskih sredstava za financiranje programa i projekata</w:t>
      </w:r>
    </w:p>
    <w:p w14:paraId="005754D7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 xml:space="preserve"> udruga osoba s invaliditetom i humanitarnih udruga u 2025. godini</w:t>
      </w:r>
    </w:p>
    <w:p w14:paraId="315E69F6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0E13E281" w14:textId="77777777" w:rsidR="003627A2" w:rsidRPr="003627A2" w:rsidRDefault="003627A2" w:rsidP="003627A2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2BE53273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Članak 1.</w:t>
      </w:r>
    </w:p>
    <w:p w14:paraId="12CD397A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 i projekata udruga osoba s invaliditetom i humanitarnih udruga Grada Garešnice u 2025. godini, te su prošle postupak formalne provjere i ocjenjivanja.</w:t>
      </w:r>
    </w:p>
    <w:p w14:paraId="6622ACAC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B473AE5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Članak 2.</w:t>
      </w:r>
    </w:p>
    <w:p w14:paraId="56AB390F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U 2025. godini iz Proračuna Grada Garešnice financirati će se provedba programa i projekata sljedećih udruga: </w:t>
      </w:r>
    </w:p>
    <w:p w14:paraId="2ABA73F4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tbl>
      <w:tblPr>
        <w:tblStyle w:val="Reetkatablice2"/>
        <w:tblW w:w="9072" w:type="dxa"/>
        <w:tblInd w:w="-5" w:type="dxa"/>
        <w:tblLook w:val="04A0" w:firstRow="1" w:lastRow="0" w:firstColumn="1" w:lastColumn="0" w:noHBand="0" w:noVBand="1"/>
      </w:tblPr>
      <w:tblGrid>
        <w:gridCol w:w="842"/>
        <w:gridCol w:w="2588"/>
        <w:gridCol w:w="2962"/>
        <w:gridCol w:w="2680"/>
      </w:tblGrid>
      <w:tr w:rsidR="003627A2" w:rsidRPr="003627A2" w14:paraId="04170864" w14:textId="77777777" w:rsidTr="003D12C0">
        <w:tc>
          <w:tcPr>
            <w:tcW w:w="805" w:type="dxa"/>
            <w:shd w:val="clear" w:color="auto" w:fill="DDD9C3" w:themeFill="background2" w:themeFillShade="E6"/>
          </w:tcPr>
          <w:p w14:paraId="4DFF120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597" w:type="dxa"/>
            <w:shd w:val="clear" w:color="auto" w:fill="DDD9C3" w:themeFill="background2" w:themeFillShade="E6"/>
          </w:tcPr>
          <w:p w14:paraId="4D62DAAD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NAZIV UDRUGE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646BF3AA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14:paraId="1C6FB247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3627A2" w:rsidRPr="003627A2" w14:paraId="53178317" w14:textId="77777777" w:rsidTr="003D12C0">
        <w:tc>
          <w:tcPr>
            <w:tcW w:w="805" w:type="dxa"/>
          </w:tcPr>
          <w:p w14:paraId="02A99975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14:paraId="3F70C8AA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UDRUGA OSOBA S INVALIDITETOM DARUVAR </w:t>
            </w:r>
          </w:p>
        </w:tc>
        <w:tc>
          <w:tcPr>
            <w:tcW w:w="2977" w:type="dxa"/>
          </w:tcPr>
          <w:p w14:paraId="64CEED36" w14:textId="7F18BD91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Koračajmo zajedno </w:t>
            </w:r>
          </w:p>
        </w:tc>
        <w:tc>
          <w:tcPr>
            <w:tcW w:w="2693" w:type="dxa"/>
          </w:tcPr>
          <w:p w14:paraId="716F1E16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E21A4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300,00 eur</w:t>
            </w:r>
          </w:p>
        </w:tc>
      </w:tr>
      <w:tr w:rsidR="003627A2" w:rsidRPr="003627A2" w14:paraId="0A462C5E" w14:textId="77777777" w:rsidTr="003D12C0">
        <w:tc>
          <w:tcPr>
            <w:tcW w:w="805" w:type="dxa"/>
          </w:tcPr>
          <w:p w14:paraId="480CED0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14:paraId="32ED55E5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UDRUGA SLIJEPIH GRADA KUTINA I DJELA SMŽ </w:t>
            </w:r>
          </w:p>
        </w:tc>
        <w:tc>
          <w:tcPr>
            <w:tcW w:w="2977" w:type="dxa"/>
          </w:tcPr>
          <w:p w14:paraId="560508CF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Slijepi u Garešnici 2025. </w:t>
            </w:r>
          </w:p>
          <w:p w14:paraId="1A2FC624" w14:textId="77777777" w:rsidR="003627A2" w:rsidRPr="003627A2" w:rsidRDefault="003627A2" w:rsidP="003D12C0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D11DDC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2733F0A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500,00 eur</w:t>
            </w:r>
          </w:p>
        </w:tc>
      </w:tr>
      <w:tr w:rsidR="003627A2" w:rsidRPr="003627A2" w14:paraId="71B24003" w14:textId="77777777" w:rsidTr="003D12C0">
        <w:tc>
          <w:tcPr>
            <w:tcW w:w="805" w:type="dxa"/>
          </w:tcPr>
          <w:p w14:paraId="4120BB6F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FC36E6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597" w:type="dxa"/>
          </w:tcPr>
          <w:p w14:paraId="276E965F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UDRUGA SLIJEPIH GRADA KUTINA I DJELA SMŽ</w:t>
            </w:r>
          </w:p>
        </w:tc>
        <w:tc>
          <w:tcPr>
            <w:tcW w:w="2977" w:type="dxa"/>
          </w:tcPr>
          <w:p w14:paraId="588B7C26" w14:textId="77777777" w:rsidR="003627A2" w:rsidRPr="003627A2" w:rsidRDefault="003627A2" w:rsidP="003627A2">
            <w:pPr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Bijeli štap 2025. – manifestacija </w:t>
            </w:r>
          </w:p>
        </w:tc>
        <w:tc>
          <w:tcPr>
            <w:tcW w:w="2693" w:type="dxa"/>
          </w:tcPr>
          <w:p w14:paraId="7A269C2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40DED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500,00 eur</w:t>
            </w:r>
          </w:p>
        </w:tc>
      </w:tr>
      <w:tr w:rsidR="003627A2" w:rsidRPr="003627A2" w14:paraId="2ACBA1D8" w14:textId="77777777" w:rsidTr="003D12C0">
        <w:trPr>
          <w:trHeight w:val="880"/>
        </w:trPr>
        <w:tc>
          <w:tcPr>
            <w:tcW w:w="805" w:type="dxa"/>
          </w:tcPr>
          <w:p w14:paraId="5E4EA5B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A38CD7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02F934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597" w:type="dxa"/>
          </w:tcPr>
          <w:p w14:paraId="7C327324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3678368C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UDRUGA TJELESNIH INVALIDA BJELOVAR </w:t>
            </w:r>
          </w:p>
        </w:tc>
        <w:tc>
          <w:tcPr>
            <w:tcW w:w="2977" w:type="dxa"/>
          </w:tcPr>
          <w:p w14:paraId="3CD1661C" w14:textId="77777777" w:rsidR="003627A2" w:rsidRPr="003627A2" w:rsidRDefault="003627A2" w:rsidP="003D12C0">
            <w:pPr>
              <w:rPr>
                <w:sz w:val="24"/>
                <w:szCs w:val="24"/>
              </w:rPr>
            </w:pPr>
            <w:r w:rsidRPr="003627A2">
              <w:rPr>
                <w:sz w:val="24"/>
                <w:szCs w:val="24"/>
              </w:rPr>
              <w:t xml:space="preserve">Poboljšanje uvjeta života osoba s invaliditetom </w:t>
            </w:r>
          </w:p>
        </w:tc>
        <w:tc>
          <w:tcPr>
            <w:tcW w:w="2693" w:type="dxa"/>
          </w:tcPr>
          <w:p w14:paraId="4847246D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C4D44C8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300,00 eur</w:t>
            </w:r>
          </w:p>
          <w:p w14:paraId="6B54AF07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627A2" w:rsidRPr="003627A2" w14:paraId="094C7D32" w14:textId="77777777" w:rsidTr="003D12C0">
        <w:trPr>
          <w:trHeight w:val="928"/>
        </w:trPr>
        <w:tc>
          <w:tcPr>
            <w:tcW w:w="805" w:type="dxa"/>
          </w:tcPr>
          <w:p w14:paraId="610CB08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EDC71A6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14:paraId="2A00C1E7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 xml:space="preserve">DIJABETIČKA UDRUGA GAREŠNICA </w:t>
            </w:r>
          </w:p>
        </w:tc>
        <w:tc>
          <w:tcPr>
            <w:tcW w:w="2977" w:type="dxa"/>
          </w:tcPr>
          <w:p w14:paraId="3C671934" w14:textId="0ED9B3D2" w:rsidR="003627A2" w:rsidRPr="003627A2" w:rsidRDefault="003627A2" w:rsidP="003627A2">
            <w:pPr>
              <w:jc w:val="left"/>
              <w:rPr>
                <w:sz w:val="24"/>
                <w:szCs w:val="24"/>
              </w:rPr>
            </w:pPr>
            <w:r w:rsidRPr="003627A2">
              <w:rPr>
                <w:sz w:val="24"/>
                <w:szCs w:val="24"/>
              </w:rPr>
              <w:t>Savjetovanje, edukacija, rekreacija i kontrola šećera u krvi oboljelih od šećerne bolesti</w:t>
            </w:r>
          </w:p>
        </w:tc>
        <w:tc>
          <w:tcPr>
            <w:tcW w:w="2693" w:type="dxa"/>
          </w:tcPr>
          <w:p w14:paraId="5A3EC2F2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4C99CB3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>500,00 eur</w:t>
            </w:r>
          </w:p>
          <w:p w14:paraId="358D5040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627A2" w:rsidRPr="003627A2" w14:paraId="21EA4B9D" w14:textId="77777777" w:rsidTr="003D12C0">
        <w:tc>
          <w:tcPr>
            <w:tcW w:w="805" w:type="dxa"/>
          </w:tcPr>
          <w:p w14:paraId="566BA7C0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597" w:type="dxa"/>
          </w:tcPr>
          <w:p w14:paraId="7B0F609D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3627A2">
              <w:rPr>
                <w:rFonts w:cstheme="minorHAnsi"/>
                <w:sz w:val="24"/>
                <w:szCs w:val="24"/>
              </w:rPr>
              <w:t>DIJABETIČKA UDRUGA GAREŠNICA</w:t>
            </w:r>
          </w:p>
        </w:tc>
        <w:tc>
          <w:tcPr>
            <w:tcW w:w="2977" w:type="dxa"/>
          </w:tcPr>
          <w:p w14:paraId="17FA6E82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627A2">
              <w:rPr>
                <w:sz w:val="24"/>
                <w:szCs w:val="24"/>
              </w:rPr>
              <w:t>Promocija zdravih životnih navika kroz rekreativne aktivnosti i kontrolu dijabetesa</w:t>
            </w:r>
          </w:p>
        </w:tc>
        <w:tc>
          <w:tcPr>
            <w:tcW w:w="2693" w:type="dxa"/>
          </w:tcPr>
          <w:p w14:paraId="7D6E3449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7D8C42B" w14:textId="77777777" w:rsidR="003627A2" w:rsidRPr="003627A2" w:rsidRDefault="003627A2" w:rsidP="003D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27A2">
              <w:rPr>
                <w:rFonts w:cstheme="minorHAnsi"/>
                <w:b/>
                <w:bCs/>
                <w:sz w:val="24"/>
                <w:szCs w:val="24"/>
              </w:rPr>
              <w:t xml:space="preserve">500,00 eur </w:t>
            </w:r>
          </w:p>
        </w:tc>
      </w:tr>
    </w:tbl>
    <w:p w14:paraId="34637D09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7C0822E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 </w:t>
      </w:r>
    </w:p>
    <w:p w14:paraId="5F4F1C97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Članak 3.</w:t>
      </w:r>
    </w:p>
    <w:p w14:paraId="7908ACB0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5CD5C1FD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F7FF00A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Članak 4.</w:t>
      </w:r>
    </w:p>
    <w:p w14:paraId="3A285D0A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39862552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>Prigovori se podnose gradonačelniku u pisanom obliku.</w:t>
      </w:r>
    </w:p>
    <w:p w14:paraId="6A5288B6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7B53AAB8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>Prigovor ne odgađa izvršenje Odluke i daljnju provedbu natječajnog postupka.</w:t>
      </w:r>
    </w:p>
    <w:p w14:paraId="53C957AB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E351AA7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3627A2">
        <w:rPr>
          <w:rFonts w:cstheme="minorHAnsi"/>
          <w:b/>
          <w:bCs/>
          <w:sz w:val="24"/>
          <w:szCs w:val="24"/>
        </w:rPr>
        <w:t>Članak 5.</w:t>
      </w:r>
    </w:p>
    <w:p w14:paraId="064C6937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Ova Odluka stupa na snagu danom donošenja, a biti će objavljena na službenoj internetskoj stranici Grada Garešnice </w:t>
      </w:r>
      <w:hyperlink r:id="rId6" w:history="1">
        <w:r w:rsidRPr="003627A2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3627A2">
        <w:rPr>
          <w:rFonts w:cstheme="minorHAnsi"/>
          <w:sz w:val="24"/>
          <w:szCs w:val="24"/>
        </w:rPr>
        <w:t xml:space="preserve"> i na Oglasnoj ploči Grada Garešnice. </w:t>
      </w:r>
    </w:p>
    <w:p w14:paraId="3C6D0FDD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F06638F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326295B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1A0D820B" w14:textId="77777777" w:rsidR="003627A2" w:rsidRPr="003627A2" w:rsidRDefault="003627A2" w:rsidP="003627A2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3627A2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p w14:paraId="29B2EC7F" w14:textId="77777777" w:rsidR="008C5FE5" w:rsidRDefault="008C5FE5" w:rsidP="00D707B3">
      <w:pPr>
        <w:jc w:val="right"/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362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319AC"/>
    <w:rsid w:val="00275B0C"/>
    <w:rsid w:val="00347D72"/>
    <w:rsid w:val="003627A2"/>
    <w:rsid w:val="003F65C1"/>
    <w:rsid w:val="00575A03"/>
    <w:rsid w:val="0058276B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BF08E7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3627A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2</cp:revision>
  <cp:lastPrinted>2025-02-27T10:01:00Z</cp:lastPrinted>
  <dcterms:created xsi:type="dcterms:W3CDTF">2025-02-27T10:01:00Z</dcterms:created>
  <dcterms:modified xsi:type="dcterms:W3CDTF">2025-02-27T10:01:00Z</dcterms:modified>
</cp:coreProperties>
</file>