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FA2E" w14:textId="2357A757" w:rsidR="00724618" w:rsidRPr="00724618" w:rsidRDefault="00724618" w:rsidP="00724618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724618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15996122" wp14:editId="2EC6FFFF">
            <wp:simplePos x="0" y="0"/>
            <wp:positionH relativeFrom="column">
              <wp:posOffset>409575</wp:posOffset>
            </wp:positionH>
            <wp:positionV relativeFrom="paragraph">
              <wp:posOffset>-423545</wp:posOffset>
            </wp:positionV>
            <wp:extent cx="394970" cy="523240"/>
            <wp:effectExtent l="0" t="0" r="5080" b="0"/>
            <wp:wrapNone/>
            <wp:docPr id="1240230151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BBB1C" w14:textId="77777777" w:rsidR="00724618" w:rsidRPr="00724618" w:rsidRDefault="00724618" w:rsidP="00724618">
      <w:pPr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REPUBLIKA HRVATSKA</w:t>
      </w:r>
    </w:p>
    <w:p w14:paraId="0715F984" w14:textId="77777777" w:rsidR="00724618" w:rsidRPr="00724618" w:rsidRDefault="00724618" w:rsidP="00724618">
      <w:pPr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BJELOVARSKO-BILOGORSKA ŽUPANIJA</w:t>
      </w:r>
    </w:p>
    <w:p w14:paraId="7111F658" w14:textId="77777777" w:rsidR="00724618" w:rsidRPr="00724618" w:rsidRDefault="00724618" w:rsidP="00724618">
      <w:pPr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GRAD GAREŠNICA</w:t>
      </w:r>
    </w:p>
    <w:p w14:paraId="5924936A" w14:textId="77777777" w:rsidR="00724618" w:rsidRPr="00724618" w:rsidRDefault="00724618" w:rsidP="00724618">
      <w:pPr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GRADONAČELNIK</w:t>
      </w:r>
    </w:p>
    <w:p w14:paraId="6B3836AD" w14:textId="77777777" w:rsidR="00724618" w:rsidRPr="00724618" w:rsidRDefault="00724618" w:rsidP="00724618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ab/>
      </w: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ab/>
      </w: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ab/>
      </w:r>
    </w:p>
    <w:p w14:paraId="66967DA3" w14:textId="77777777" w:rsidR="00724618" w:rsidRPr="00724618" w:rsidRDefault="00724618" w:rsidP="00724618">
      <w:pPr>
        <w:spacing w:after="0" w:line="240" w:lineRule="auto"/>
        <w:rPr>
          <w:rFonts w:ascii="Calibri" w:eastAsia="Times New Roman" w:hAnsi="Calibri" w:cs="Aptos"/>
          <w:noProof/>
          <w:kern w:val="0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 xml:space="preserve">KLASA:  602-02/23-01/2 </w:t>
      </w:r>
    </w:p>
    <w:p w14:paraId="365EBA8B" w14:textId="77777777" w:rsidR="00724618" w:rsidRPr="00724618" w:rsidRDefault="00724618" w:rsidP="00724618">
      <w:pPr>
        <w:spacing w:after="0" w:line="240" w:lineRule="auto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URBROJ: 2103-4-02-24-34</w:t>
      </w:r>
    </w:p>
    <w:p w14:paraId="6B2748A6" w14:textId="77777777" w:rsidR="00724618" w:rsidRPr="00724618" w:rsidRDefault="00724618" w:rsidP="00724618">
      <w:pPr>
        <w:spacing w:after="0" w:line="240" w:lineRule="auto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kern w:val="0"/>
          <w:lang w:eastAsia="hr-HR"/>
          <w14:ligatures w14:val="none"/>
        </w:rPr>
        <w:t xml:space="preserve">Garešnica, </w:t>
      </w: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05.03.2024.</w:t>
      </w:r>
    </w:p>
    <w:p w14:paraId="5D1B068F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</w:p>
    <w:p w14:paraId="70D77855" w14:textId="77777777" w:rsidR="00724618" w:rsidRPr="00724618" w:rsidRDefault="00724618" w:rsidP="00724618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724618">
        <w:rPr>
          <w:rFonts w:ascii="Calibri" w:eastAsia="Times New Roman" w:hAnsi="Calibri" w:cs="Aptos"/>
          <w:kern w:val="0"/>
          <w:lang w:val="pl-PL" w:eastAsia="hr-HR"/>
          <w14:ligatures w14:val="none"/>
        </w:rPr>
        <w:t xml:space="preserve">         </w:t>
      </w: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Na temelju članka 19. i članka 48. stavka 1. Zakona o lokalnoj i područnoj (regionalnoj) samoupravi </w:t>
      </w:r>
      <w:r w:rsidRPr="00724618">
        <w:rPr>
          <w:rFonts w:ascii="Calibri" w:eastAsia="Times New Roman" w:hAnsi="Calibri" w:cs="Aptos"/>
          <w:color w:val="000000"/>
          <w:kern w:val="0"/>
          <w:lang w:val="en-US" w:eastAsia="hr-HR"/>
          <w14:ligatures w14:val="none"/>
        </w:rPr>
        <w:t>(„</w:t>
      </w:r>
      <w:proofErr w:type="spellStart"/>
      <w:r w:rsidRPr="00724618">
        <w:rPr>
          <w:rFonts w:ascii="Calibri" w:eastAsia="Times New Roman" w:hAnsi="Calibri" w:cs="Aptos"/>
          <w:color w:val="000000"/>
          <w:kern w:val="0"/>
          <w:lang w:val="en-US" w:eastAsia="hr-HR"/>
          <w14:ligatures w14:val="none"/>
        </w:rPr>
        <w:t>Narodne</w:t>
      </w:r>
      <w:proofErr w:type="spellEnd"/>
      <w:r w:rsidRPr="00724618">
        <w:rPr>
          <w:rFonts w:ascii="Calibri" w:eastAsia="Times New Roman" w:hAnsi="Calibri" w:cs="Aptos"/>
          <w:color w:val="000000"/>
          <w:kern w:val="0"/>
          <w:lang w:val="en-US" w:eastAsia="hr-HR"/>
          <w14:ligatures w14:val="none"/>
        </w:rPr>
        <w:t xml:space="preserve"> novine“, </w:t>
      </w:r>
      <w:proofErr w:type="spellStart"/>
      <w:r w:rsidRPr="00724618">
        <w:rPr>
          <w:rFonts w:ascii="Calibri" w:eastAsia="Times New Roman" w:hAnsi="Calibri" w:cs="Aptos"/>
          <w:color w:val="000000"/>
          <w:kern w:val="0"/>
          <w:lang w:val="en-US" w:eastAsia="hr-HR"/>
          <w14:ligatures w14:val="none"/>
        </w:rPr>
        <w:t>broj</w:t>
      </w:r>
      <w:proofErr w:type="spellEnd"/>
      <w:r w:rsidRPr="00724618">
        <w:rPr>
          <w:rFonts w:ascii="Calibri" w:eastAsia="Times New Roman" w:hAnsi="Calibri" w:cs="Aptos"/>
          <w:color w:val="000000"/>
          <w:kern w:val="0"/>
          <w:lang w:val="en-US" w:eastAsia="hr-HR"/>
          <w14:ligatures w14:val="none"/>
        </w:rPr>
        <w:t xml:space="preserve"> 33/01, 60/01, 129/05, 109/07, 125/08, 36/09, 150/11, 144/12, 19/13, 137/15,123/17, 98/19, 144/20), </w:t>
      </w:r>
      <w:proofErr w:type="spellStart"/>
      <w:r w:rsidRPr="00724618">
        <w:rPr>
          <w:rFonts w:ascii="Calibri" w:eastAsia="Times New Roman" w:hAnsi="Calibri" w:cs="Aptos"/>
          <w:color w:val="000000"/>
          <w:kern w:val="0"/>
          <w:lang w:val="en-US" w:eastAsia="hr-HR"/>
          <w14:ligatures w14:val="none"/>
        </w:rPr>
        <w:t>te</w:t>
      </w:r>
      <w:proofErr w:type="spellEnd"/>
      <w:r w:rsidRPr="00724618">
        <w:rPr>
          <w:rFonts w:ascii="Calibri" w:eastAsia="Times New Roman" w:hAnsi="Calibri" w:cs="Aptos"/>
          <w:color w:val="000000"/>
          <w:kern w:val="0"/>
          <w:lang w:val="en-US" w:eastAsia="hr-HR"/>
          <w14:ligatures w14:val="none"/>
        </w:rPr>
        <w:t> </w:t>
      </w: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članka 53. Statuta Grada Garešnice („Službeni glasnik Grada Garešnice“ broj 2/21) Gradonačelnik Grada Garešnice donosi</w:t>
      </w:r>
    </w:p>
    <w:p w14:paraId="153053A9" w14:textId="77777777" w:rsidR="00724618" w:rsidRPr="00724618" w:rsidRDefault="00724618" w:rsidP="00724618">
      <w:pPr>
        <w:shd w:val="clear" w:color="auto" w:fill="FFFFFF"/>
        <w:spacing w:after="0" w:line="240" w:lineRule="auto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 </w:t>
      </w:r>
    </w:p>
    <w:p w14:paraId="7A063AC1" w14:textId="77777777" w:rsidR="00724618" w:rsidRPr="00724618" w:rsidRDefault="00724618" w:rsidP="00724618">
      <w:pPr>
        <w:shd w:val="clear" w:color="auto" w:fill="FFFFFF"/>
        <w:spacing w:after="0" w:line="240" w:lineRule="auto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 </w:t>
      </w:r>
    </w:p>
    <w:p w14:paraId="5C08FF70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bookmarkStart w:id="0" w:name="_Hlk114741924"/>
      <w:bookmarkEnd w:id="0"/>
      <w:r w:rsidRPr="00724618">
        <w:rPr>
          <w:rFonts w:ascii="Calibri" w:eastAsia="Times New Roman" w:hAnsi="Calibri" w:cs="Aptos"/>
          <w:b/>
          <w:bCs/>
          <w:color w:val="000000"/>
          <w:kern w:val="0"/>
          <w:lang w:eastAsia="hr-HR"/>
          <w14:ligatures w14:val="none"/>
        </w:rPr>
        <w:t xml:space="preserve">O D L U K U </w:t>
      </w:r>
    </w:p>
    <w:p w14:paraId="603C594E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b/>
          <w:bCs/>
          <w:color w:val="000000"/>
          <w:kern w:val="0"/>
          <w:lang w:eastAsia="hr-HR"/>
          <w14:ligatures w14:val="none"/>
        </w:rPr>
        <w:t>o visini cijene sata rada i ostalim materijalnim pravima za pomoćnike u nastavi u osnovnim školama na području Grada Garešnice</w:t>
      </w:r>
    </w:p>
    <w:p w14:paraId="063AFB94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bookmarkStart w:id="1" w:name="_Hlk114215581"/>
      <w:bookmarkEnd w:id="1"/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 </w:t>
      </w:r>
    </w:p>
    <w:p w14:paraId="1FD20202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 </w:t>
      </w:r>
    </w:p>
    <w:p w14:paraId="56A3C4C4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Članak 1. </w:t>
      </w:r>
    </w:p>
    <w:p w14:paraId="63C07C53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Ovom Odlukom utvrđuje se visina cijene sata rada te ostala materijalna prava za pomoćnike u nastavi u osnovnim školama na području Grada Garešnice kojima je Grad Garešnica osnivač.</w:t>
      </w:r>
    </w:p>
    <w:p w14:paraId="6A6E7648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 </w:t>
      </w:r>
    </w:p>
    <w:p w14:paraId="2ABCAB35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Članak 2.</w:t>
      </w:r>
    </w:p>
    <w:p w14:paraId="2300DE2E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Cijena sata rada za pomoćnike u nastavi iznosi 6,77 eura (bruto II.)</w:t>
      </w:r>
    </w:p>
    <w:p w14:paraId="735860F3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 </w:t>
      </w:r>
    </w:p>
    <w:p w14:paraId="208C4D1B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 </w:t>
      </w:r>
    </w:p>
    <w:p w14:paraId="4176BDFB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Članak 3.</w:t>
      </w:r>
    </w:p>
    <w:p w14:paraId="0363105E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Pomoćnici u nastavi ostvaruju pravo na troškove mjesnog i međumjesnog prijevoza na posao i s posla u visini stvarnih troškova, ali ne više od 53,09 eura mjesečno.</w:t>
      </w:r>
    </w:p>
    <w:p w14:paraId="0A7792E2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 </w:t>
      </w:r>
    </w:p>
    <w:p w14:paraId="284AAC70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Članak 4.</w:t>
      </w:r>
    </w:p>
    <w:p w14:paraId="53C61157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Pomoćnici u nastavi ostvaruju pravo na isplatu regresa i božićnice sukladno Kolektivnom ugovoru, kao i ostali zaposlenici škole.</w:t>
      </w:r>
    </w:p>
    <w:p w14:paraId="70940979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</w:p>
    <w:p w14:paraId="7A3C631C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Članak 5.</w:t>
      </w:r>
    </w:p>
    <w:p w14:paraId="79B3289F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Temeljem ove Odluke škole će s pomoćnicima u nastavi sklopiti anekse ugovora o radu.</w:t>
      </w:r>
    </w:p>
    <w:p w14:paraId="692A5AEA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</w:p>
    <w:p w14:paraId="18EEA64A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Članak 6.</w:t>
      </w:r>
    </w:p>
    <w:p w14:paraId="166E3236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Stupanjem na snagu ove odluke prestaje vrijediti Odluka o visini cijene sata rada i ostalim materijalnim pravima za pomoćnike u nastavi u osnovnim školama na području Grada Garešnice, KLASA: 602-02/23-01/2, URBROJ: 2103-4-02-23-23 („Službeni glasnik Grada Garešnice“ broj 9/23).</w:t>
      </w:r>
    </w:p>
    <w:p w14:paraId="1C89067B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</w:p>
    <w:p w14:paraId="4FCA4D63" w14:textId="77777777" w:rsidR="00724618" w:rsidRPr="00724618" w:rsidRDefault="00724618" w:rsidP="007246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Članak 7.</w:t>
      </w:r>
    </w:p>
    <w:p w14:paraId="1F07AB5B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Ova Odluka stupa na snagu danom donošenja, a objavit će se u Službenom glasniku Grada Garešnice.</w:t>
      </w:r>
    </w:p>
    <w:p w14:paraId="0445741D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</w:p>
    <w:p w14:paraId="77843CE5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</w:p>
    <w:p w14:paraId="27211E85" w14:textId="77777777" w:rsidR="00724618" w:rsidRPr="00724618" w:rsidRDefault="00724618" w:rsidP="00724618">
      <w:pPr>
        <w:shd w:val="clear" w:color="auto" w:fill="FFFFFF"/>
        <w:spacing w:after="0" w:line="240" w:lineRule="auto"/>
        <w:ind w:left="5664" w:firstLine="708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GRADONAČELNIK</w:t>
      </w:r>
    </w:p>
    <w:p w14:paraId="3C9C9B93" w14:textId="77777777" w:rsidR="00724618" w:rsidRPr="00724618" w:rsidRDefault="00724618" w:rsidP="00724618">
      <w:pPr>
        <w:shd w:val="clear" w:color="auto" w:fill="FFFFFF"/>
        <w:spacing w:after="0" w:line="240" w:lineRule="auto"/>
        <w:ind w:left="5664" w:firstLine="708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</w:p>
    <w:p w14:paraId="5F092646" w14:textId="77777777" w:rsidR="00724618" w:rsidRPr="00724618" w:rsidRDefault="00724618" w:rsidP="00724618">
      <w:pPr>
        <w:shd w:val="clear" w:color="auto" w:fill="FFFFFF"/>
        <w:spacing w:after="0" w:line="240" w:lineRule="auto"/>
        <w:ind w:left="5664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 xml:space="preserve">    Josip Bilandžija, </w:t>
      </w:r>
      <w:proofErr w:type="spellStart"/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dipl.ing.šum</w:t>
      </w:r>
      <w:proofErr w:type="spellEnd"/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.</w:t>
      </w:r>
    </w:p>
    <w:p w14:paraId="7D0E3D64" w14:textId="77777777" w:rsidR="00724618" w:rsidRPr="00724618" w:rsidRDefault="00724618" w:rsidP="007246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</w:p>
    <w:p w14:paraId="2A69BEF2" w14:textId="66446F9F" w:rsidR="009E62B8" w:rsidRPr="00AE7ABF" w:rsidRDefault="00724618" w:rsidP="00AE7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</w:pPr>
      <w:r w:rsidRPr="00724618">
        <w:rPr>
          <w:rFonts w:ascii="Calibri" w:eastAsia="Times New Roman" w:hAnsi="Calibri" w:cs="Aptos"/>
          <w:color w:val="000000"/>
          <w:kern w:val="0"/>
          <w:lang w:eastAsia="hr-HR"/>
          <w14:ligatures w14:val="none"/>
        </w:rPr>
        <w:t> </w:t>
      </w:r>
      <w:r w:rsidRPr="00724618">
        <w:rPr>
          <w:rFonts w:ascii="Calibri" w:eastAsia="Times New Roman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8301138" wp14:editId="07AC8C9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17034" w14:textId="77777777" w:rsidR="00724618" w:rsidRDefault="00724618" w:rsidP="00724618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0113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7117034" w14:textId="77777777" w:rsidR="00724618" w:rsidRDefault="00724618" w:rsidP="00724618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9E62B8" w:rsidRPr="00AE7ABF" w:rsidSect="004B30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2925"/>
    <w:multiLevelType w:val="multilevel"/>
    <w:tmpl w:val="65EE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1719B"/>
    <w:multiLevelType w:val="multilevel"/>
    <w:tmpl w:val="0C6C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676FB"/>
    <w:multiLevelType w:val="multilevel"/>
    <w:tmpl w:val="9C6E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E2E18"/>
    <w:multiLevelType w:val="multilevel"/>
    <w:tmpl w:val="FE56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13407"/>
    <w:multiLevelType w:val="multilevel"/>
    <w:tmpl w:val="7A72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112071">
    <w:abstractNumId w:val="3"/>
  </w:num>
  <w:num w:numId="2" w16cid:durableId="1638880360">
    <w:abstractNumId w:val="4"/>
  </w:num>
  <w:num w:numId="3" w16cid:durableId="177818743">
    <w:abstractNumId w:val="0"/>
  </w:num>
  <w:num w:numId="4" w16cid:durableId="2105298312">
    <w:abstractNumId w:val="2"/>
  </w:num>
  <w:num w:numId="5" w16cid:durableId="49908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2D"/>
    <w:rsid w:val="002D7B57"/>
    <w:rsid w:val="004B302A"/>
    <w:rsid w:val="00683DE6"/>
    <w:rsid w:val="00724618"/>
    <w:rsid w:val="00945C4C"/>
    <w:rsid w:val="009D0F85"/>
    <w:rsid w:val="009E62B8"/>
    <w:rsid w:val="00AE7ABF"/>
    <w:rsid w:val="00CC7DE8"/>
    <w:rsid w:val="00CE662D"/>
    <w:rsid w:val="00D976DC"/>
    <w:rsid w:val="00F7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FCCE"/>
  <w15:chartTrackingRefBased/>
  <w15:docId w15:val="{DA72C211-3915-4AF6-A777-EDE25207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6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6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6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6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6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6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6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6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6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66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662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66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66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66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66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6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6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66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66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662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6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662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662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724618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72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2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947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7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6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7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5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14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Ivana Burić</cp:lastModifiedBy>
  <cp:revision>2</cp:revision>
  <cp:lastPrinted>2024-03-05T07:01:00Z</cp:lastPrinted>
  <dcterms:created xsi:type="dcterms:W3CDTF">2024-03-06T13:53:00Z</dcterms:created>
  <dcterms:modified xsi:type="dcterms:W3CDTF">2024-03-06T13:53:00Z</dcterms:modified>
</cp:coreProperties>
</file>